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0F0" w:rsidRDefault="00C030F0" w:rsidP="00C030F0">
      <w:pPr>
        <w:pStyle w:val="NormalWeb"/>
        <w:spacing w:before="0" w:beforeAutospacing="0" w:after="240" w:afterAutospacing="0"/>
        <w:rPr>
          <w:rFonts w:ascii="Georgia" w:hAnsi="Georgia"/>
          <w:color w:val="111111"/>
          <w:sz w:val="23"/>
          <w:szCs w:val="23"/>
        </w:rPr>
      </w:pPr>
      <w:r>
        <w:t xml:space="preserve">Post 1: </w:t>
      </w:r>
      <w:r>
        <w:rPr>
          <w:rFonts w:ascii="Georgia" w:hAnsi="Georgia"/>
          <w:color w:val="111111"/>
          <w:sz w:val="23"/>
          <w:szCs w:val="23"/>
        </w:rPr>
        <w:t>A time when I had to make a change in my personal life was ending a toxic relationship in order to pursue my career as a nursing student which I needed to focus all my attention on. A change theory that can explain the process I used to approach this change situation would be the complex and adaptive systems change theory. This theory suggests that the relationship between elements and agents with in any system is nonlinear and that these elements are the key players in changing settings or outcomes. An example would be that although an individual may have behaved one way in the past, complexity adaptive systems change theory suggests that future behavior may not always be the same (not always predictable) (Marquis, Huston 2015). The priorities at the time that impacted my change decision was that my future career and education was more important than the needs of toxic people that I had no time or energy to fulfill. My change was successful and my grades even improved drastically from the change, the lesson I learned from the process is that it is possible to change for the better and no one is static in their lives.</w:t>
      </w:r>
    </w:p>
    <w:p w:rsidR="00C030F0" w:rsidRDefault="00C030F0" w:rsidP="00C030F0">
      <w:pPr>
        <w:pStyle w:val="NormalWeb"/>
        <w:spacing w:before="0" w:beforeAutospacing="0" w:after="0" w:afterAutospacing="0" w:line="576" w:lineRule="atLeast"/>
        <w:rPr>
          <w:color w:val="111111"/>
        </w:rPr>
      </w:pPr>
      <w:r>
        <w:rPr>
          <w:rFonts w:ascii="inherit" w:hAnsi="inherit"/>
          <w:color w:val="000000"/>
          <w:bdr w:val="none" w:sz="0" w:space="0" w:color="auto" w:frame="1"/>
        </w:rPr>
        <w:t>Marquis, B. L., &amp; Huston, C. J. (2015). Planned change. In </w:t>
      </w:r>
      <w:r>
        <w:rPr>
          <w:rFonts w:ascii="inherit" w:hAnsi="inherit"/>
          <w:i/>
          <w:iCs/>
          <w:color w:val="000000"/>
          <w:bdr w:val="none" w:sz="0" w:space="0" w:color="auto" w:frame="1"/>
        </w:rPr>
        <w:t>Leadership roles and management</w:t>
      </w:r>
    </w:p>
    <w:p w:rsidR="00C030F0" w:rsidRDefault="00C030F0" w:rsidP="00C030F0">
      <w:pPr>
        <w:pStyle w:val="NormalWeb"/>
        <w:spacing w:before="0" w:beforeAutospacing="0" w:after="0" w:afterAutospacing="0" w:line="576" w:lineRule="atLeast"/>
        <w:rPr>
          <w:color w:val="111111"/>
        </w:rPr>
      </w:pPr>
      <w:r>
        <w:rPr>
          <w:rFonts w:ascii="inherit" w:hAnsi="inherit"/>
          <w:i/>
          <w:iCs/>
          <w:color w:val="000000"/>
          <w:bdr w:val="none" w:sz="0" w:space="0" w:color="auto" w:frame="1"/>
        </w:rPr>
        <w:t>functions in nursing: Theory and application</w:t>
      </w:r>
      <w:r>
        <w:rPr>
          <w:rFonts w:ascii="inherit" w:hAnsi="inherit"/>
          <w:color w:val="000000"/>
          <w:bdr w:val="none" w:sz="0" w:space="0" w:color="auto" w:frame="1"/>
        </w:rPr>
        <w:t> [2015] (8th ed., pp. 164-174)</w:t>
      </w:r>
    </w:p>
    <w:p w:rsidR="00C73E00" w:rsidRDefault="00C030F0"/>
    <w:p w:rsidR="00C030F0" w:rsidRDefault="00C030F0" w:rsidP="00C030F0">
      <w:pPr>
        <w:pStyle w:val="NormalWeb"/>
        <w:spacing w:before="0" w:beforeAutospacing="0" w:after="240" w:afterAutospacing="0"/>
        <w:rPr>
          <w:rFonts w:ascii="Georgia" w:hAnsi="Georgia"/>
          <w:color w:val="111111"/>
          <w:sz w:val="23"/>
          <w:szCs w:val="23"/>
        </w:rPr>
      </w:pPr>
      <w:r>
        <w:t xml:space="preserve">post 2: </w:t>
      </w:r>
      <w:r>
        <w:rPr>
          <w:rFonts w:ascii="Georgia" w:hAnsi="Georgia"/>
          <w:color w:val="111111"/>
          <w:sz w:val="23"/>
          <w:szCs w:val="23"/>
        </w:rPr>
        <w:t xml:space="preserve">During the tail end of 2015, I decided that I needed more in my professional life. I was working as a pharmacy </w:t>
      </w:r>
      <w:proofErr w:type="spellStart"/>
      <w:r>
        <w:rPr>
          <w:rFonts w:ascii="Georgia" w:hAnsi="Georgia"/>
          <w:color w:val="111111"/>
          <w:sz w:val="23"/>
          <w:szCs w:val="23"/>
        </w:rPr>
        <w:t>technican</w:t>
      </w:r>
      <w:proofErr w:type="spellEnd"/>
      <w:r>
        <w:rPr>
          <w:rFonts w:ascii="Georgia" w:hAnsi="Georgia"/>
          <w:color w:val="111111"/>
          <w:sz w:val="23"/>
          <w:szCs w:val="23"/>
        </w:rPr>
        <w:t xml:space="preserve"> for about 10 years up until that point and realized I needed something more challenging that could inspire growth. Therefore, I decided to pursue a BSN. According to Kurt Lewin's change theory, driving forces pushes an individual in a direction that causes change to occur (</w:t>
      </w:r>
      <w:proofErr w:type="spellStart"/>
      <w:r>
        <w:rPr>
          <w:rFonts w:ascii="Georgia" w:hAnsi="Georgia"/>
          <w:color w:val="111111"/>
          <w:sz w:val="23"/>
          <w:szCs w:val="23"/>
        </w:rPr>
        <w:t>Kritsonis</w:t>
      </w:r>
      <w:proofErr w:type="spellEnd"/>
      <w:r>
        <w:rPr>
          <w:rFonts w:ascii="Georgia" w:hAnsi="Georgia"/>
          <w:color w:val="111111"/>
          <w:sz w:val="23"/>
          <w:szCs w:val="23"/>
        </w:rPr>
        <w:t>, 2005). Driving forces facilitate change by because these forces push a person toward a desired direction. There are three stages in Lewin's change theory: unfreezing, change, and refreezing (</w:t>
      </w:r>
      <w:proofErr w:type="spellStart"/>
      <w:r>
        <w:rPr>
          <w:rFonts w:ascii="Georgia" w:hAnsi="Georgia"/>
          <w:color w:val="111111"/>
          <w:sz w:val="23"/>
          <w:szCs w:val="23"/>
        </w:rPr>
        <w:t>Kritsonis</w:t>
      </w:r>
      <w:proofErr w:type="spellEnd"/>
      <w:r>
        <w:rPr>
          <w:rFonts w:ascii="Georgia" w:hAnsi="Georgia"/>
          <w:color w:val="111111"/>
          <w:sz w:val="23"/>
          <w:szCs w:val="23"/>
        </w:rPr>
        <w:t>, 2005). In the unfreezing stage, the individual must find a way of letting go of old patterns that were somehow counterproductive (</w:t>
      </w:r>
      <w:proofErr w:type="spellStart"/>
      <w:r>
        <w:rPr>
          <w:rFonts w:ascii="Georgia" w:hAnsi="Georgia"/>
          <w:color w:val="111111"/>
          <w:sz w:val="23"/>
          <w:szCs w:val="23"/>
        </w:rPr>
        <w:t>Kritsonis</w:t>
      </w:r>
      <w:proofErr w:type="spellEnd"/>
      <w:r>
        <w:rPr>
          <w:rFonts w:ascii="Georgia" w:hAnsi="Georgia"/>
          <w:color w:val="111111"/>
          <w:sz w:val="23"/>
          <w:szCs w:val="23"/>
        </w:rPr>
        <w:t>, 2005). In this stage, the individual must break group conformity or any strains of individual resistance (</w:t>
      </w:r>
      <w:proofErr w:type="spellStart"/>
      <w:r>
        <w:rPr>
          <w:rFonts w:ascii="Georgia" w:hAnsi="Georgia"/>
          <w:color w:val="111111"/>
          <w:sz w:val="23"/>
          <w:szCs w:val="23"/>
        </w:rPr>
        <w:t>Kritsonis</w:t>
      </w:r>
      <w:proofErr w:type="spellEnd"/>
      <w:r>
        <w:rPr>
          <w:rFonts w:ascii="Georgia" w:hAnsi="Georgia"/>
          <w:color w:val="111111"/>
          <w:sz w:val="23"/>
          <w:szCs w:val="23"/>
        </w:rPr>
        <w:t xml:space="preserve">, 2005). The second stage is to change behavior via movement. This can be done by getting a fresh </w:t>
      </w:r>
      <w:proofErr w:type="spellStart"/>
      <w:r>
        <w:rPr>
          <w:rFonts w:ascii="Georgia" w:hAnsi="Georgia"/>
          <w:color w:val="111111"/>
          <w:sz w:val="23"/>
          <w:szCs w:val="23"/>
        </w:rPr>
        <w:t>prespective</w:t>
      </w:r>
      <w:proofErr w:type="spellEnd"/>
      <w:r>
        <w:rPr>
          <w:rFonts w:ascii="Georgia" w:hAnsi="Georgia"/>
          <w:color w:val="111111"/>
          <w:sz w:val="23"/>
          <w:szCs w:val="23"/>
        </w:rPr>
        <w:t xml:space="preserve"> of a situation (</w:t>
      </w:r>
      <w:proofErr w:type="spellStart"/>
      <w:r>
        <w:rPr>
          <w:rFonts w:ascii="Georgia" w:hAnsi="Georgia"/>
          <w:color w:val="111111"/>
          <w:sz w:val="23"/>
          <w:szCs w:val="23"/>
        </w:rPr>
        <w:t>Kritsonis</w:t>
      </w:r>
      <w:proofErr w:type="spellEnd"/>
      <w:r>
        <w:rPr>
          <w:rFonts w:ascii="Georgia" w:hAnsi="Georgia"/>
          <w:color w:val="111111"/>
          <w:sz w:val="23"/>
          <w:szCs w:val="23"/>
        </w:rPr>
        <w:t>, 2005). The third stage is refreezing, in which the individual integrates new values into existing community values for the new values to "stick" over time (</w:t>
      </w:r>
      <w:proofErr w:type="spellStart"/>
      <w:r>
        <w:rPr>
          <w:rFonts w:ascii="Georgia" w:hAnsi="Georgia"/>
          <w:color w:val="111111"/>
          <w:sz w:val="23"/>
          <w:szCs w:val="23"/>
        </w:rPr>
        <w:t>Kritsonis</w:t>
      </w:r>
      <w:proofErr w:type="spellEnd"/>
      <w:r>
        <w:rPr>
          <w:rFonts w:ascii="Georgia" w:hAnsi="Georgia"/>
          <w:color w:val="111111"/>
          <w:sz w:val="23"/>
          <w:szCs w:val="23"/>
        </w:rPr>
        <w:t xml:space="preserve">, 2005). Some of the priorities that impacted my decision was the loss of income. I was worried about making a </w:t>
      </w:r>
      <w:proofErr w:type="spellStart"/>
      <w:r>
        <w:rPr>
          <w:rFonts w:ascii="Georgia" w:hAnsi="Georgia"/>
          <w:color w:val="111111"/>
          <w:sz w:val="23"/>
          <w:szCs w:val="23"/>
        </w:rPr>
        <w:t>sufficent</w:t>
      </w:r>
      <w:proofErr w:type="spellEnd"/>
      <w:r>
        <w:rPr>
          <w:rFonts w:ascii="Georgia" w:hAnsi="Georgia"/>
          <w:color w:val="111111"/>
          <w:sz w:val="23"/>
          <w:szCs w:val="23"/>
        </w:rPr>
        <w:t xml:space="preserve"> income while in school, which was a barrier I had to overcome to effectively commit to the change. However, with some financial planning, I was able to effective transition from a full time worker to a full time </w:t>
      </w:r>
      <w:proofErr w:type="spellStart"/>
      <w:r>
        <w:rPr>
          <w:rFonts w:ascii="Georgia" w:hAnsi="Georgia"/>
          <w:color w:val="111111"/>
          <w:sz w:val="23"/>
          <w:szCs w:val="23"/>
        </w:rPr>
        <w:t>sutdent</w:t>
      </w:r>
      <w:proofErr w:type="spellEnd"/>
      <w:r>
        <w:rPr>
          <w:rFonts w:ascii="Georgia" w:hAnsi="Georgia"/>
          <w:color w:val="111111"/>
          <w:sz w:val="23"/>
          <w:szCs w:val="23"/>
        </w:rPr>
        <w:t xml:space="preserve"> without much impact on my finances. </w:t>
      </w:r>
    </w:p>
    <w:p w:rsidR="00C030F0" w:rsidRDefault="00C030F0" w:rsidP="00C030F0">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References:</w:t>
      </w:r>
    </w:p>
    <w:p w:rsidR="00C030F0" w:rsidRDefault="00C030F0" w:rsidP="00C030F0">
      <w:pPr>
        <w:pStyle w:val="NormalWeb"/>
        <w:spacing w:before="0" w:beforeAutospacing="0" w:after="0" w:afterAutospacing="0"/>
        <w:rPr>
          <w:rFonts w:ascii="Georgia" w:hAnsi="Georgia"/>
          <w:color w:val="111111"/>
          <w:sz w:val="23"/>
          <w:szCs w:val="23"/>
        </w:rPr>
      </w:pPr>
      <w:r>
        <w:rPr>
          <w:rFonts w:ascii="Georgia" w:hAnsi="Georgia"/>
          <w:color w:val="111111"/>
          <w:sz w:val="23"/>
          <w:szCs w:val="23"/>
        </w:rPr>
        <w:t> </w:t>
      </w:r>
      <w:r>
        <w:rPr>
          <w:rStyle w:val="apple-converted-space"/>
          <w:rFonts w:ascii="Georgia" w:hAnsi="Georgia"/>
          <w:color w:val="111111"/>
          <w:sz w:val="23"/>
          <w:szCs w:val="23"/>
        </w:rPr>
        <w:t> </w:t>
      </w:r>
      <w:proofErr w:type="spellStart"/>
      <w:r>
        <w:rPr>
          <w:rFonts w:ascii="Arial" w:hAnsi="Arial" w:cs="Arial"/>
          <w:color w:val="222222"/>
          <w:sz w:val="20"/>
          <w:szCs w:val="20"/>
          <w:bdr w:val="none" w:sz="0" w:space="0" w:color="auto" w:frame="1"/>
        </w:rPr>
        <w:t>Kritsonis</w:t>
      </w:r>
      <w:proofErr w:type="spellEnd"/>
      <w:r>
        <w:rPr>
          <w:rFonts w:ascii="Arial" w:hAnsi="Arial" w:cs="Arial"/>
          <w:color w:val="222222"/>
          <w:sz w:val="20"/>
          <w:szCs w:val="20"/>
          <w:bdr w:val="none" w:sz="0" w:space="0" w:color="auto" w:frame="1"/>
        </w:rPr>
        <w:t>, A. (2005). Comparison of change theories. </w:t>
      </w:r>
      <w:r>
        <w:rPr>
          <w:rFonts w:ascii="Arial" w:hAnsi="Arial" w:cs="Arial"/>
          <w:i/>
          <w:iCs/>
          <w:color w:val="222222"/>
          <w:sz w:val="20"/>
          <w:szCs w:val="20"/>
        </w:rPr>
        <w:t>International Journal of Scholarly Academic Intellectual Diversity</w:t>
      </w:r>
      <w:r>
        <w:rPr>
          <w:rFonts w:ascii="Arial" w:hAnsi="Arial" w:cs="Arial"/>
          <w:color w:val="222222"/>
          <w:sz w:val="20"/>
          <w:szCs w:val="20"/>
          <w:bdr w:val="none" w:sz="0" w:space="0" w:color="auto" w:frame="1"/>
        </w:rPr>
        <w:t>, </w:t>
      </w:r>
      <w:r>
        <w:rPr>
          <w:rFonts w:ascii="Arial" w:hAnsi="Arial" w:cs="Arial"/>
          <w:i/>
          <w:iCs/>
          <w:color w:val="222222"/>
          <w:sz w:val="20"/>
          <w:szCs w:val="20"/>
        </w:rPr>
        <w:t>8</w:t>
      </w:r>
      <w:r>
        <w:rPr>
          <w:rFonts w:ascii="Arial" w:hAnsi="Arial" w:cs="Arial"/>
          <w:color w:val="222222"/>
          <w:sz w:val="20"/>
          <w:szCs w:val="20"/>
          <w:bdr w:val="none" w:sz="0" w:space="0" w:color="auto" w:frame="1"/>
        </w:rPr>
        <w:t>(1), 1-7.</w:t>
      </w:r>
    </w:p>
    <w:p w:rsidR="00C030F0" w:rsidRDefault="00C030F0"/>
    <w:p w:rsidR="00C030F0" w:rsidRDefault="00C030F0">
      <w:r>
        <w:t>PLEASE WRITE A RESPONSE TO EACH. BE KIND AND INCLUDE CITATION AND REFERENCE.</w:t>
      </w:r>
      <w:bookmarkStart w:id="0" w:name="_GoBack"/>
      <w:bookmarkEnd w:id="0"/>
    </w:p>
    <w:sectPr w:rsidR="00C030F0"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0F0"/>
    <w:rsid w:val="000D3744"/>
    <w:rsid w:val="003B049E"/>
    <w:rsid w:val="006B11A7"/>
    <w:rsid w:val="006B5355"/>
    <w:rsid w:val="00C030F0"/>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F90E86E4-387F-814F-853F-68D690B2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30F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03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378535">
      <w:bodyDiv w:val="1"/>
      <w:marLeft w:val="0"/>
      <w:marRight w:val="0"/>
      <w:marTop w:val="0"/>
      <w:marBottom w:val="0"/>
      <w:divBdr>
        <w:top w:val="none" w:sz="0" w:space="0" w:color="auto"/>
        <w:left w:val="none" w:sz="0" w:space="0" w:color="auto"/>
        <w:bottom w:val="none" w:sz="0" w:space="0" w:color="auto"/>
        <w:right w:val="none" w:sz="0" w:space="0" w:color="auto"/>
      </w:divBdr>
    </w:div>
    <w:div w:id="137377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460</Words>
  <Characters>2627</Characters>
  <Application>Microsoft Office Word</Application>
  <DocSecurity>0</DocSecurity>
  <Lines>21</Lines>
  <Paragraphs>6</Paragraphs>
  <ScaleCrop>false</ScaleCrop>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2018-04-18T21:49:00Z</dcterms:created>
  <dcterms:modified xsi:type="dcterms:W3CDTF">2018-04-18T21:52:00Z</dcterms:modified>
</cp:coreProperties>
</file>